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Notice – Patients and Carers (Bryngwyn Surgery)</w:t>
      </w:r>
    </w:p>
    <w:p>
      <w:r>
        <w:t>Bryngwyn Surgery is committed to protecting your personal information and ensuring it is used lawfully and securely.</w:t>
      </w:r>
    </w:p>
    <w:p>
      <w:pPr>
        <w:pStyle w:val="Heading1"/>
      </w:pPr>
      <w:r>
        <w:t>What information we collect</w:t>
      </w:r>
    </w:p>
    <w:p>
      <w:r>
        <w:t>We collect personal and health information including NHS number, contact details, and medical records.</w:t>
      </w:r>
    </w:p>
    <w:p>
      <w:pPr>
        <w:pStyle w:val="Heading1"/>
      </w:pPr>
      <w:r>
        <w:t>How we use your information</w:t>
      </w:r>
    </w:p>
    <w:p>
      <w:r>
        <w:t>Your data is used for direct care, service management, legal requirements, and participation in national clinical audits including the National Diabetes Audit (NDA).</w:t>
      </w:r>
    </w:p>
    <w:p>
      <w:pPr>
        <w:pStyle w:val="Heading1"/>
      </w:pPr>
      <w:r>
        <w:t>National Clinical Audits – National Diabetes Audit (NDA)</w:t>
      </w:r>
    </w:p>
    <w:p>
      <w:r>
        <w:t>We participate in national clinical audits to improve patient care across NHS Wales. The National Diabetes Audit (NDA) measures care quality and outcomes.</w:t>
      </w:r>
    </w:p>
    <w:p>
      <w:pPr>
        <w:pStyle w:val="ListBullet"/>
      </w:pPr>
      <w:r>
        <w:t>Data is extracted by Digital Health and Care Wales (DHCW)</w:t>
      </w:r>
    </w:p>
    <w:p>
      <w:pPr>
        <w:pStyle w:val="ListBullet"/>
      </w:pPr>
      <w:r>
        <w:t>Shared securely with NHS England</w:t>
      </w:r>
    </w:p>
    <w:p>
      <w:pPr>
        <w:pStyle w:val="ListBullet"/>
      </w:pPr>
      <w:r>
        <w:t>From 2025 onwards shared with NHS Wales for improvement</w:t>
      </w:r>
    </w:p>
    <w:p>
      <w:pPr>
        <w:pStyle w:val="ListBullet"/>
      </w:pPr>
      <w:r>
        <w:t>Includes NHS number, DOB, postcode, gender and GP code</w:t>
      </w:r>
    </w:p>
    <w:p>
      <w:pPr>
        <w:pStyle w:val="Heading1"/>
      </w:pPr>
      <w:r>
        <w:t>Legal basis</w:t>
      </w:r>
    </w:p>
    <w:p>
      <w:r>
        <w:t>Processing is required under UK GDPR Articles 6(1)(e), 6(1)(c), 9(2)(h) and 9(2)(i), and supported by NHS Wales legislation.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