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b/>
          <w:color w:val="11325B"/>
          <w:sz w:val="38"/>
        </w:rPr>
        <w:t>Complaints and Concerns Procedure</w:t>
      </w:r>
    </w:p>
    <w:p>
      <w:pPr>
        <w:jc w:val="center"/>
      </w:pPr>
      <w:r>
        <w:rPr>
          <w:rFonts w:ascii="Arial" w:hAnsi="Arial"/>
          <w:color w:val="5C7692"/>
          <w:sz w:val="18"/>
        </w:rPr>
        <w:t>Aligned to Listening to People: The NHS Wales Complaints, Incidents and Redress Process, 2026.</w:t>
      </w:r>
    </w:p>
    <w:p>
      <w:pPr>
        <w:jc w:val="center"/>
      </w:pPr>
      <w:r>
        <w:rPr>
          <w:rFonts w:ascii="Arial" w:hAnsi="Arial"/>
          <w:color w:val="1F2A44"/>
          <w:sz w:val="16"/>
        </w:rPr>
        <w:t>Complaints Lead: Rebecca Cooper, Practice Manager</w:t>
        <w:br/>
        <w:t>Escalation: Michele Richards</w:t>
        <w:br/>
        <w:t>GP Partner oversight: Dr Majd Jadoon</w:t>
      </w:r>
    </w:p>
    <w:p>
      <w:pPr>
        <w:pStyle w:val="Heading1"/>
      </w:pPr>
      <w:r>
        <w:rPr>
          <w:rFonts w:ascii="Arial" w:hAnsi="Arial"/>
        </w:rPr>
        <w:t>1. Purpose</w:t>
      </w:r>
    </w:p>
    <w:p>
      <w:r>
        <w:rPr>
          <w:rFonts w:ascii="Arial" w:hAnsi="Arial"/>
          <w:b w:val="0"/>
          <w:color w:val="1F2A44"/>
          <w:sz w:val="20"/>
        </w:rPr>
        <w:t>This procedure sets out how Bryngwyn Surgery receives, records, acknowledges, responds to and learns from concerns, complaints, compliments and feedback under the NHS Wales Listening to People process.</w:t>
      </w:r>
    </w:p>
    <w:p>
      <w:pPr>
        <w:pStyle w:val="Heading1"/>
      </w:pPr>
      <w:r>
        <w:rPr>
          <w:rFonts w:ascii="Arial" w:hAnsi="Arial"/>
        </w:rPr>
        <w:t>2. Key roles and single point of access</w:t>
      </w:r>
    </w:p>
    <w:tbl>
      <w:tblPr>
        <w:tblStyle w:val="TableGrid"/>
        <w:tblW w:type="auto" w:w="0"/>
        <w:jc w:val="center"/>
        <w:tblLook w:firstColumn="1" w:firstRow="1" w:lastColumn="0" w:lastRow="0" w:noHBand="0" w:noVBand="1" w:val="04A0"/>
      </w:tblPr>
      <w:tblGrid>
        <w:gridCol w:w="5400"/>
        <w:gridCol w:w="5400"/>
      </w:tblGrid>
      <w:tr>
        <w:tc>
          <w:tcPr>
            <w:tcW w:type="dxa" w:w="5400"/>
            <w:shd w:fill="11325B"/>
            <w:vAlign w:val="top"/>
          </w:tcPr>
          <w:p>
            <w:r>
              <w:rPr>
                <w:b/>
                <w:color w:val="FFFFFF"/>
              </w:rPr>
            </w:r>
            <w:r>
              <w:rPr>
                <w:rFonts w:ascii="Arial" w:hAnsi="Arial"/>
                <w:b/>
                <w:color w:val="FFFFFF"/>
                <w:sz w:val="18"/>
              </w:rPr>
              <w:t>Area</w:t>
            </w:r>
          </w:p>
        </w:tc>
        <w:tc>
          <w:tcPr>
            <w:tcW w:type="dxa" w:w="5400"/>
            <w:shd w:fill="11325B"/>
            <w:vAlign w:val="top"/>
          </w:tcPr>
          <w:p>
            <w:r>
              <w:rPr>
                <w:b/>
                <w:color w:val="FFFFFF"/>
              </w:rPr>
            </w:r>
            <w:r>
              <w:rPr>
                <w:rFonts w:ascii="Arial" w:hAnsi="Arial"/>
                <w:b/>
                <w:color w:val="FFFFFF"/>
                <w:sz w:val="18"/>
              </w:rPr>
              <w:t>Requirement / Bryngwyn approach</w:t>
            </w:r>
          </w:p>
        </w:tc>
      </w:tr>
      <w:tr>
        <w:tc>
          <w:tcPr>
            <w:tcW w:type="dxa" w:w="5400"/>
            <w:shd w:fill="EEF8FA"/>
            <w:vAlign w:val="top"/>
          </w:tcPr>
          <w:p>
            <w:r/>
            <w:r>
              <w:rPr>
                <w:rFonts w:ascii="Arial" w:hAnsi="Arial"/>
                <w:b/>
                <w:color w:val="11325B"/>
                <w:sz w:val="18"/>
              </w:rPr>
              <w:t>Single point of access</w:t>
            </w:r>
          </w:p>
        </w:tc>
        <w:tc>
          <w:tcPr>
            <w:tcW w:type="dxa" w:w="5400"/>
            <w:vAlign w:val="top"/>
          </w:tcPr>
          <w:p>
            <w:r/>
            <w:r>
              <w:rPr>
                <w:rFonts w:ascii="Arial" w:hAnsi="Arial"/>
                <w:b w:val="0"/>
                <w:sz w:val="18"/>
              </w:rPr>
              <w:t>Concerns should be directed through the practice complaints route: enquiries.w93046@wales.nhs.uk, 01633 263463, in writing, through the website, or via any member of staff who must pass the concern on promptly.</w:t>
            </w:r>
          </w:p>
        </w:tc>
      </w:tr>
      <w:tr>
        <w:tc>
          <w:tcPr>
            <w:tcW w:type="dxa" w:w="5400"/>
            <w:shd w:fill="EEF8FA"/>
            <w:vAlign w:val="top"/>
          </w:tcPr>
          <w:p>
            <w:r/>
            <w:r>
              <w:rPr>
                <w:rFonts w:ascii="Arial" w:hAnsi="Arial"/>
                <w:b/>
                <w:color w:val="11325B"/>
                <w:sz w:val="18"/>
              </w:rPr>
              <w:t>Single point of contact</w:t>
            </w:r>
          </w:p>
        </w:tc>
        <w:tc>
          <w:tcPr>
            <w:tcW w:type="dxa" w:w="5400"/>
            <w:vAlign w:val="top"/>
          </w:tcPr>
          <w:p>
            <w:r/>
            <w:r>
              <w:rPr>
                <w:rFonts w:ascii="Arial" w:hAnsi="Arial"/>
                <w:b w:val="0"/>
                <w:sz w:val="18"/>
              </w:rPr>
              <w:t>Rebecca Cooper, Practice Manager is the named contact for concern handling unless another named contact is confirmed in writing.</w:t>
            </w:r>
          </w:p>
        </w:tc>
      </w:tr>
      <w:tr>
        <w:tc>
          <w:tcPr>
            <w:tcW w:type="dxa" w:w="5400"/>
            <w:shd w:fill="EEF8FA"/>
            <w:vAlign w:val="top"/>
          </w:tcPr>
          <w:p>
            <w:r/>
            <w:r>
              <w:rPr>
                <w:rFonts w:ascii="Arial" w:hAnsi="Arial"/>
                <w:b/>
                <w:color w:val="11325B"/>
                <w:sz w:val="18"/>
              </w:rPr>
              <w:t>Escalation / senior management oversight</w:t>
            </w:r>
          </w:p>
        </w:tc>
        <w:tc>
          <w:tcPr>
            <w:tcW w:type="dxa" w:w="5400"/>
            <w:vAlign w:val="top"/>
          </w:tcPr>
          <w:p>
            <w:r/>
            <w:r>
              <w:rPr>
                <w:rFonts w:ascii="Arial" w:hAnsi="Arial"/>
                <w:b w:val="0"/>
                <w:sz w:val="18"/>
              </w:rPr>
              <w:t>Michele Richards</w:t>
            </w:r>
          </w:p>
        </w:tc>
      </w:tr>
      <w:tr>
        <w:tc>
          <w:tcPr>
            <w:tcW w:type="dxa" w:w="5400"/>
            <w:shd w:fill="EEF8FA"/>
            <w:vAlign w:val="top"/>
          </w:tcPr>
          <w:p>
            <w:r/>
            <w:r>
              <w:rPr>
                <w:rFonts w:ascii="Arial" w:hAnsi="Arial"/>
                <w:b/>
                <w:color w:val="11325B"/>
                <w:sz w:val="18"/>
              </w:rPr>
              <w:t>GP Partner oversight</w:t>
            </w:r>
          </w:p>
        </w:tc>
        <w:tc>
          <w:tcPr>
            <w:tcW w:type="dxa" w:w="5400"/>
            <w:vAlign w:val="top"/>
          </w:tcPr>
          <w:p>
            <w:r/>
            <w:r>
              <w:rPr>
                <w:rFonts w:ascii="Arial" w:hAnsi="Arial"/>
                <w:b w:val="0"/>
                <w:sz w:val="18"/>
              </w:rPr>
              <w:t>Dr Majd Jadoon</w:t>
            </w:r>
          </w:p>
        </w:tc>
      </w:tr>
      <w:tr>
        <w:tc>
          <w:tcPr>
            <w:tcW w:type="dxa" w:w="5400"/>
            <w:shd w:fill="EEF8FA"/>
            <w:vAlign w:val="top"/>
          </w:tcPr>
          <w:p>
            <w:r/>
            <w:r>
              <w:rPr>
                <w:rFonts w:ascii="Arial" w:hAnsi="Arial"/>
                <w:b/>
                <w:color w:val="11325B"/>
                <w:sz w:val="18"/>
              </w:rPr>
              <w:t>All staff</w:t>
            </w:r>
          </w:p>
        </w:tc>
        <w:tc>
          <w:tcPr>
            <w:tcW w:type="dxa" w:w="5400"/>
            <w:vAlign w:val="top"/>
          </w:tcPr>
          <w:p>
            <w:r/>
            <w:r>
              <w:rPr>
                <w:rFonts w:ascii="Arial" w:hAnsi="Arial"/>
                <w:b w:val="0"/>
                <w:sz w:val="18"/>
              </w:rPr>
              <w:t>Listen, reassure, record accurately and escalate promptly. Front desk staff must not investigate formal complaints unless specifically trained and authorised.</w:t>
            </w:r>
          </w:p>
        </w:tc>
      </w:tr>
    </w:tbl>
    <w:p>
      <w:pPr>
        <w:pStyle w:val="Heading1"/>
      </w:pPr>
      <w:r>
        <w:rPr>
          <w:rFonts w:ascii="Arial" w:hAnsi="Arial"/>
        </w:rPr>
        <w:t>3. Core requirements</w:t>
      </w:r>
    </w:p>
    <w:tbl>
      <w:tblPr>
        <w:tblStyle w:val="TableGrid"/>
        <w:tblW w:type="auto" w:w="0"/>
        <w:jc w:val="center"/>
        <w:tblLook w:firstColumn="1" w:firstRow="1" w:lastColumn="0" w:lastRow="0" w:noHBand="0" w:noVBand="1" w:val="04A0"/>
      </w:tblPr>
      <w:tblGrid>
        <w:gridCol w:w="5400"/>
        <w:gridCol w:w="5400"/>
      </w:tblGrid>
      <w:tr>
        <w:tc>
          <w:tcPr>
            <w:tcW w:type="dxa" w:w="5400"/>
            <w:shd w:fill="11325B"/>
            <w:vAlign w:val="top"/>
          </w:tcPr>
          <w:p>
            <w:r>
              <w:rPr>
                <w:b/>
                <w:color w:val="FFFFFF"/>
              </w:rPr>
            </w:r>
            <w:r>
              <w:rPr>
                <w:rFonts w:ascii="Arial" w:hAnsi="Arial"/>
                <w:b/>
                <w:color w:val="FFFFFF"/>
                <w:sz w:val="18"/>
              </w:rPr>
              <w:t>Area</w:t>
            </w:r>
          </w:p>
        </w:tc>
        <w:tc>
          <w:tcPr>
            <w:tcW w:type="dxa" w:w="5400"/>
            <w:shd w:fill="11325B"/>
            <w:vAlign w:val="top"/>
          </w:tcPr>
          <w:p>
            <w:r>
              <w:rPr>
                <w:b/>
                <w:color w:val="FFFFFF"/>
              </w:rPr>
            </w:r>
            <w:r>
              <w:rPr>
                <w:rFonts w:ascii="Arial" w:hAnsi="Arial"/>
                <w:b/>
                <w:color w:val="FFFFFF"/>
                <w:sz w:val="18"/>
              </w:rPr>
              <w:t>Requirement / Bryngwyn approach</w:t>
            </w:r>
          </w:p>
        </w:tc>
      </w:tr>
      <w:tr>
        <w:tc>
          <w:tcPr>
            <w:tcW w:type="dxa" w:w="5400"/>
            <w:shd w:fill="EEF8FA"/>
            <w:vAlign w:val="top"/>
          </w:tcPr>
          <w:p>
            <w:r/>
            <w:r>
              <w:rPr>
                <w:rFonts w:ascii="Arial" w:hAnsi="Arial"/>
                <w:b/>
                <w:color w:val="11325B"/>
                <w:sz w:val="18"/>
              </w:rPr>
              <w:t>Acknowledgement</w:t>
            </w:r>
          </w:p>
        </w:tc>
        <w:tc>
          <w:tcPr>
            <w:tcW w:type="dxa" w:w="5400"/>
            <w:vAlign w:val="top"/>
          </w:tcPr>
          <w:p>
            <w:r/>
            <w:r>
              <w:rPr>
                <w:rFonts w:ascii="Arial" w:hAnsi="Arial"/>
                <w:b w:val="0"/>
                <w:sz w:val="18"/>
              </w:rPr>
              <w:t>Acknowledge the concern no later than 5 working days after receipt. The acknowledgement must include the offer of a listening discussion and communication support information.</w:t>
            </w:r>
          </w:p>
        </w:tc>
      </w:tr>
      <w:tr>
        <w:tc>
          <w:tcPr>
            <w:tcW w:type="dxa" w:w="5400"/>
            <w:shd w:fill="EEF8FA"/>
            <w:vAlign w:val="top"/>
          </w:tcPr>
          <w:p>
            <w:r/>
            <w:r>
              <w:rPr>
                <w:rFonts w:ascii="Arial" w:hAnsi="Arial"/>
                <w:b/>
                <w:color w:val="11325B"/>
                <w:sz w:val="18"/>
              </w:rPr>
              <w:t>Listening discussion</w:t>
            </w:r>
          </w:p>
        </w:tc>
        <w:tc>
          <w:tcPr>
            <w:tcW w:type="dxa" w:w="5400"/>
            <w:vAlign w:val="top"/>
          </w:tcPr>
          <w:p>
            <w:r/>
            <w:r>
              <w:rPr>
                <w:rFonts w:ascii="Arial" w:hAnsi="Arial"/>
                <w:b w:val="0"/>
                <w:sz w:val="18"/>
              </w:rPr>
              <w:t>A listening discussion must be offered at acknowledgement. Participation is voluntary for the person raising the concern. The discussion may be by telephone, video or face to face.</w:t>
            </w:r>
          </w:p>
        </w:tc>
      </w:tr>
      <w:tr>
        <w:tc>
          <w:tcPr>
            <w:tcW w:type="dxa" w:w="5400"/>
            <w:shd w:fill="EEF8FA"/>
            <w:vAlign w:val="top"/>
          </w:tcPr>
          <w:p>
            <w:r/>
            <w:r>
              <w:rPr>
                <w:rFonts w:ascii="Arial" w:hAnsi="Arial"/>
                <w:b/>
                <w:color w:val="11325B"/>
                <w:sz w:val="18"/>
              </w:rPr>
              <w:t>Early resolution</w:t>
            </w:r>
          </w:p>
        </w:tc>
        <w:tc>
          <w:tcPr>
            <w:tcW w:type="dxa" w:w="5400"/>
            <w:vAlign w:val="top"/>
          </w:tcPr>
          <w:p>
            <w:r/>
            <w:r>
              <w:rPr>
                <w:rFonts w:ascii="Arial" w:hAnsi="Arial"/>
                <w:b w:val="0"/>
                <w:sz w:val="18"/>
              </w:rPr>
              <w:t>Where suitable, explain early resolution and obtain explicit consent. Early resolution must be completed within 10 working days from acknowledgement. If not resolved within that period, escalate to Stage 2 formal investigation.</w:t>
            </w:r>
          </w:p>
        </w:tc>
      </w:tr>
      <w:tr>
        <w:tc>
          <w:tcPr>
            <w:tcW w:type="dxa" w:w="5400"/>
            <w:shd w:fill="EEF8FA"/>
            <w:vAlign w:val="top"/>
          </w:tcPr>
          <w:p>
            <w:r/>
            <w:r>
              <w:rPr>
                <w:rFonts w:ascii="Arial" w:hAnsi="Arial"/>
                <w:b/>
                <w:color w:val="11325B"/>
                <w:sz w:val="18"/>
              </w:rPr>
              <w:t>Formal investigation timescale</w:t>
            </w:r>
          </w:p>
        </w:tc>
        <w:tc>
          <w:tcPr>
            <w:tcW w:type="dxa" w:w="5400"/>
            <w:vAlign w:val="top"/>
          </w:tcPr>
          <w:p>
            <w:r/>
            <w:r>
              <w:t>At an early stage, provide a clear and realistic expected completion date tailored to the concern and communicate this to the person. If the timescale changes, explain why and provide a revised date. The concerns log should record the agreed target date and any updates.</w:t>
            </w:r>
          </w:p>
        </w:tc>
      </w:tr>
      <w:tr>
        <w:tc>
          <w:tcPr>
            <w:tcW w:type="dxa" w:w="5400"/>
            <w:shd w:fill="EEF8FA"/>
            <w:vAlign w:val="top"/>
          </w:tcPr>
          <w:p>
            <w:r/>
            <w:r>
              <w:rPr>
                <w:rFonts w:ascii="Arial" w:hAnsi="Arial"/>
                <w:b/>
                <w:color w:val="11325B"/>
                <w:sz w:val="18"/>
              </w:rPr>
              <w:t>Communication needs</w:t>
            </w:r>
          </w:p>
        </w:tc>
        <w:tc>
          <w:tcPr>
            <w:tcW w:type="dxa" w:w="5400"/>
            <w:vAlign w:val="top"/>
          </w:tcPr>
          <w:p>
            <w:r/>
            <w:r>
              <w:rPr>
                <w:rFonts w:ascii="Arial" w:hAnsi="Arial"/>
                <w:b w:val="0"/>
                <w:sz w:val="18"/>
              </w:rPr>
              <w:t>Record communication preferences, Welsh language preference, interpreter needs, advocacy needs, disability access needs and reasonable adjustments.</w:t>
            </w:r>
          </w:p>
        </w:tc>
      </w:tr>
      <w:tr>
        <w:tc>
          <w:tcPr>
            <w:tcW w:type="dxa" w:w="5400"/>
            <w:shd w:fill="EEF8FA"/>
            <w:vAlign w:val="top"/>
          </w:tcPr>
          <w:p>
            <w:r/>
            <w:r>
              <w:rPr>
                <w:rFonts w:ascii="Arial" w:hAnsi="Arial"/>
                <w:b/>
                <w:color w:val="11325B"/>
                <w:sz w:val="18"/>
              </w:rPr>
              <w:t>Advocacy</w:t>
            </w:r>
          </w:p>
        </w:tc>
        <w:tc>
          <w:tcPr>
            <w:tcW w:type="dxa" w:w="5400"/>
            <w:vAlign w:val="top"/>
          </w:tcPr>
          <w:p>
            <w:r/>
            <w:r>
              <w:rPr>
                <w:rFonts w:ascii="Arial" w:hAnsi="Arial"/>
                <w:b w:val="0"/>
                <w:sz w:val="18"/>
              </w:rPr>
              <w:t>Actively offer Llais or advocacy support where appropriate.</w:t>
            </w:r>
          </w:p>
        </w:tc>
      </w:tr>
      <w:tr>
        <w:tc>
          <w:tcPr>
            <w:tcW w:type="dxa" w:w="5400"/>
            <w:shd w:fill="EEF8FA"/>
            <w:vAlign w:val="top"/>
          </w:tcPr>
          <w:p>
            <w:r/>
            <w:r>
              <w:rPr>
                <w:rFonts w:ascii="Arial" w:hAnsi="Arial"/>
                <w:b/>
                <w:color w:val="11325B"/>
                <w:sz w:val="18"/>
              </w:rPr>
              <w:t>Learning</w:t>
            </w:r>
          </w:p>
        </w:tc>
        <w:tc>
          <w:tcPr>
            <w:tcW w:type="dxa" w:w="5400"/>
            <w:vAlign w:val="top"/>
          </w:tcPr>
          <w:p>
            <w:r/>
            <w:r>
              <w:rPr>
                <w:rFonts w:ascii="Arial" w:hAnsi="Arial"/>
                <w:b w:val="0"/>
                <w:sz w:val="18"/>
              </w:rPr>
              <w:t>Log all concerns, record actions and learning, identify themes and review through governance meetings.</w:t>
            </w:r>
          </w:p>
        </w:tc>
      </w:tr>
      <w:tr>
        <w:tc>
          <w:tcPr>
            <w:tcW w:type="dxa" w:w="5400"/>
            <w:shd w:fill="FFFFFF"/>
          </w:tcPr>
          <w:p>
            <w:r>
              <w:rPr>
                <w:b/>
              </w:rPr>
            </w:r>
            <w:r>
              <w:rPr>
                <w:b/>
              </w:rPr>
              <w:t>Duty of Candour</w:t>
            </w:r>
          </w:p>
        </w:tc>
        <w:tc>
          <w:tcPr>
            <w:tcW w:type="dxa" w:w="5400"/>
            <w:shd w:fill="FFFFFF"/>
          </w:tcPr>
          <w:p>
            <w:r/>
            <w:r>
              <w:t>Where a concern indicates actual or potential patient harm, the Duty of Candour process will be activated and run alongside this procedure. This includes open communication, apology where appropriate, and ongoing updates to the patient.</w:t>
            </w:r>
          </w:p>
        </w:tc>
      </w:tr>
      <w:tr>
        <w:tc>
          <w:tcPr>
            <w:tcW w:type="dxa" w:w="5400"/>
            <w:shd w:fill="FFFFFF"/>
          </w:tcPr>
          <w:p>
            <w:r>
              <w:rPr>
                <w:b/>
              </w:rPr>
            </w:r>
            <w:r>
              <w:rPr>
                <w:b/>
              </w:rPr>
              <w:t>Additional processes</w:t>
            </w:r>
          </w:p>
        </w:tc>
        <w:tc>
          <w:tcPr>
            <w:tcW w:type="dxa" w:w="5400"/>
            <w:shd w:fill="FFFFFF"/>
          </w:tcPr>
          <w:p>
            <w:r/>
            <w:r>
              <w:t>Concerns may also trigger additional processes including Significant Event Analysis, incident reporting or redress procedures where appropriate.</w:t>
            </w:r>
          </w:p>
        </w:tc>
      </w:tr>
      <w:tr>
        <w:tc>
          <w:tcPr>
            <w:tcW w:type="dxa" w:w="5400"/>
            <w:shd w:fill="FFFFFF"/>
          </w:tcPr>
          <w:p>
            <w:r>
              <w:rPr>
                <w:b/>
              </w:rPr>
            </w:r>
            <w:r>
              <w:rPr>
                <w:b/>
              </w:rPr>
              <w:t>Governance and oversight</w:t>
            </w:r>
          </w:p>
        </w:tc>
        <w:tc>
          <w:tcPr>
            <w:tcW w:type="dxa" w:w="5400"/>
            <w:shd w:fill="FFFFFF"/>
          </w:tcPr>
          <w:p>
            <w:r/>
            <w:r>
              <w:t>The practice will review concerns as follows:</w:t>
            </w:r>
          </w:p>
          <w:p>
            <w:r>
              <w:t>Monthly review of all concerns by the Practice Manager.</w:t>
            </w:r>
          </w:p>
          <w:p>
            <w:r>
              <w:t>Quarterly thematic review including clinical and governance input.</w:t>
            </w:r>
          </w:p>
          <w:p>
            <w:r>
              <w:t>Annual summary report identifying themes, risks, actions and improvements.</w:t>
            </w:r>
          </w:p>
          <w:p>
            <w:r>
              <w:t>Findings will be discussed at practice meetings and used to inform service improvement.</w:t>
            </w:r>
          </w:p>
        </w:tc>
      </w:tr>
      <w:tr>
        <w:tc>
          <w:tcPr>
            <w:tcW w:type="dxa" w:w="5400"/>
            <w:shd w:fill="FFFFFF"/>
          </w:tcPr>
          <w:p>
            <w:r>
              <w:rPr>
                <w:b/>
              </w:rPr>
            </w:r>
            <w:r>
              <w:rPr>
                <w:b/>
              </w:rPr>
              <w:t>Monitoring and assurance</w:t>
            </w:r>
          </w:p>
        </w:tc>
        <w:tc>
          <w:tcPr>
            <w:tcW w:type="dxa" w:w="5400"/>
            <w:shd w:fill="FFFFFF"/>
          </w:tcPr>
          <w:p>
            <w:r/>
            <w:r>
              <w:t>Compliance with this procedure will be monitored through review of the concerns log, including:</w:t>
            </w:r>
          </w:p>
          <w:p>
            <w:r>
              <w:t>Timeliness of acknowledgement.</w:t>
            </w:r>
          </w:p>
          <w:p>
            <w:r>
              <w:t>Offering of listening discussions.</w:t>
            </w:r>
          </w:p>
          <w:p>
            <w:r>
              <w:t>Use and success of early resolution.</w:t>
            </w:r>
          </w:p>
          <w:p>
            <w:r>
              <w:t>Themes, actions and learning.</w:t>
            </w:r>
          </w:p>
        </w:tc>
      </w:tr>
      <w:tr>
        <w:tc>
          <w:tcPr>
            <w:tcW w:type="dxa" w:w="5400"/>
            <w:shd w:fill="FFFFFF"/>
          </w:tcPr>
          <w:p>
            <w:r>
              <w:rPr>
                <w:b/>
              </w:rPr>
            </w:r>
            <w:r>
              <w:rPr>
                <w:b/>
              </w:rPr>
              <w:t>Sharing learning</w:t>
            </w:r>
          </w:p>
        </w:tc>
        <w:tc>
          <w:tcPr>
            <w:tcW w:type="dxa" w:w="5400"/>
            <w:shd w:fill="FFFFFF"/>
          </w:tcPr>
          <w:p>
            <w:r/>
            <w:r>
              <w:t>Where appropriate, learning and improvements resulting from concerns will be shared with patients and staff, including through "You said, we did" communication.</w:t>
            </w:r>
          </w:p>
        </w:tc>
      </w:tr>
    </w:tbl>
    <w:p>
      <w:pPr>
        <w:pStyle w:val="Heading1"/>
      </w:pPr>
      <w:r>
        <w:rPr>
          <w:rFonts w:ascii="Arial" w:hAnsi="Arial"/>
        </w:rPr>
        <w:t>4. How concerns are raised</w:t>
      </w:r>
    </w:p>
    <w:p>
      <w:pPr>
        <w:pStyle w:val="ListBullet"/>
      </w:pPr>
      <w:r>
        <w:rPr>
          <w:rFonts w:ascii="Arial" w:hAnsi="Arial"/>
          <w:sz w:val="20"/>
        </w:rPr>
        <w:t>In person at reception or with any member of staff.</w:t>
      </w:r>
    </w:p>
    <w:p>
      <w:pPr>
        <w:pStyle w:val="ListBullet"/>
      </w:pPr>
      <w:r>
        <w:rPr>
          <w:rFonts w:ascii="Arial" w:hAnsi="Arial"/>
          <w:sz w:val="20"/>
        </w:rPr>
        <w:t>By telephone: 01633 263463.</w:t>
      </w:r>
    </w:p>
    <w:p>
      <w:pPr>
        <w:pStyle w:val="ListBullet"/>
      </w:pPr>
      <w:r>
        <w:rPr>
          <w:rFonts w:ascii="Arial" w:hAnsi="Arial"/>
          <w:sz w:val="20"/>
        </w:rPr>
        <w:t>By email: enquiries.w93046@wales.nhs.uk.</w:t>
      </w:r>
    </w:p>
    <w:p>
      <w:pPr>
        <w:pStyle w:val="ListBullet"/>
      </w:pPr>
      <w:r>
        <w:rPr>
          <w:rFonts w:ascii="Arial" w:hAnsi="Arial"/>
          <w:sz w:val="20"/>
        </w:rPr>
        <w:t>In writing to: Bryngwyn Surgery, 4 and 6 Bryngwyn Road, Newport, NP20 4JE.</w:t>
      </w:r>
    </w:p>
    <w:p>
      <w:pPr>
        <w:pStyle w:val="ListBullet"/>
      </w:pPr>
      <w:r>
        <w:rPr>
          <w:rFonts w:ascii="Arial" w:hAnsi="Arial"/>
          <w:sz w:val="20"/>
        </w:rPr>
        <w:t>Via the practice website: www.bryngwynsurgery.co.uk.</w:t>
      </w:r>
    </w:p>
    <w:p>
      <w:pPr>
        <w:pStyle w:val="ListBullet"/>
      </w:pPr>
      <w:r>
        <w:rPr>
          <w:rFonts w:ascii="Arial" w:hAnsi="Arial"/>
          <w:sz w:val="20"/>
        </w:rPr>
        <w:t>Through Llais, an advocate, family member, representative or carer where appropriate.</w:t>
      </w:r>
    </w:p>
    <w:p>
      <w:pPr>
        <w:pStyle w:val="Heading1"/>
      </w:pPr>
      <w:r>
        <w:rPr>
          <w:rFonts w:ascii="Arial" w:hAnsi="Arial"/>
        </w:rPr>
        <w:t>5. Staff actions when a concern is received</w:t>
      </w:r>
    </w:p>
    <w:p>
      <w:pPr>
        <w:pStyle w:val="ListBullet"/>
      </w:pPr>
      <w:r>
        <w:rPr>
          <w:rFonts w:ascii="Arial" w:hAnsi="Arial"/>
          <w:sz w:val="20"/>
        </w:rPr>
        <w:t>Listen calmly and allow the person to explain.</w:t>
      </w:r>
    </w:p>
    <w:p>
      <w:pPr>
        <w:pStyle w:val="ListBullet"/>
      </w:pPr>
      <w:r>
        <w:rPr>
          <w:rFonts w:ascii="Arial" w:hAnsi="Arial"/>
          <w:sz w:val="20"/>
        </w:rPr>
        <w:t>Thank the person for raising the concern and reassure them it will be passed to the Complaints Lead.</w:t>
      </w:r>
    </w:p>
    <w:p>
      <w:pPr>
        <w:pStyle w:val="ListBullet"/>
      </w:pPr>
      <w:r>
        <w:rPr>
          <w:rFonts w:ascii="Arial" w:hAnsi="Arial"/>
          <w:sz w:val="20"/>
        </w:rPr>
        <w:t>Record enough information to identify the patient, the concern, contact details and any immediate risk.</w:t>
      </w:r>
    </w:p>
    <w:p>
      <w:pPr>
        <w:pStyle w:val="ListBullet"/>
      </w:pPr>
      <w:r>
        <w:rPr>
          <w:rFonts w:ascii="Arial" w:hAnsi="Arial"/>
          <w:sz w:val="20"/>
        </w:rPr>
        <w:t>Check whether the person has communication, Welsh language, interpretation, advocacy or accessibility needs.</w:t>
      </w:r>
    </w:p>
    <w:p>
      <w:pPr>
        <w:pStyle w:val="ListBullet"/>
      </w:pPr>
      <w:r>
        <w:rPr>
          <w:rFonts w:ascii="Arial" w:hAnsi="Arial"/>
          <w:sz w:val="20"/>
        </w:rPr>
        <w:t>Do not argue, blame, speculate, admit liability or promise an outcome.</w:t>
      </w:r>
    </w:p>
    <w:p>
      <w:pPr>
        <w:pStyle w:val="ListBullet"/>
      </w:pPr>
      <w:r>
        <w:rPr>
          <w:rFonts w:ascii="Arial" w:hAnsi="Arial"/>
          <w:sz w:val="20"/>
        </w:rPr>
        <w:t>Pass the concern to Rebecca Cooper promptly. Escalate urgent or high risk matters to Michele Richards and GP Partner oversight.</w:t>
      </w:r>
    </w:p>
    <w:p>
      <w:pPr>
        <w:pStyle w:val="Heading1"/>
      </w:pPr>
      <w:r>
        <w:rPr>
          <w:rFonts w:ascii="Arial" w:hAnsi="Arial"/>
        </w:rPr>
        <w:t>6. Immediate escalation triggers</w:t>
      </w:r>
    </w:p>
    <w:p>
      <w:pPr>
        <w:pStyle w:val="ListBullet"/>
      </w:pPr>
      <w:r>
        <w:rPr>
          <w:rFonts w:ascii="Arial" w:hAnsi="Arial"/>
          <w:sz w:val="20"/>
        </w:rPr>
        <w:t>Actual or potential patient harm.</w:t>
      </w:r>
    </w:p>
    <w:p>
      <w:pPr>
        <w:pStyle w:val="ListBullet"/>
      </w:pPr>
      <w:r>
        <w:rPr>
          <w:rFonts w:ascii="Arial" w:hAnsi="Arial"/>
          <w:sz w:val="20"/>
        </w:rPr>
        <w:t>Safeguarding concern involving a child or adult at risk.</w:t>
      </w:r>
    </w:p>
    <w:p>
      <w:pPr>
        <w:pStyle w:val="ListBullet"/>
      </w:pPr>
      <w:r>
        <w:rPr>
          <w:rFonts w:ascii="Arial" w:hAnsi="Arial"/>
          <w:sz w:val="20"/>
        </w:rPr>
        <w:t>Duty of Candour trigger or possible patient safety incident.</w:t>
      </w:r>
    </w:p>
    <w:p>
      <w:pPr>
        <w:pStyle w:val="ListBullet"/>
      </w:pPr>
      <w:r>
        <w:rPr>
          <w:rFonts w:ascii="Arial" w:hAnsi="Arial"/>
          <w:sz w:val="20"/>
        </w:rPr>
        <w:t>Discrimination, confidentiality breach or data protection concern.</w:t>
      </w:r>
    </w:p>
    <w:p>
      <w:pPr>
        <w:pStyle w:val="ListBullet"/>
      </w:pPr>
      <w:r>
        <w:rPr>
          <w:rFonts w:ascii="Arial" w:hAnsi="Arial"/>
          <w:sz w:val="20"/>
        </w:rPr>
        <w:t>Threat of legal action, solicitor letter, request for compensation, or possible redress issue.</w:t>
      </w:r>
    </w:p>
    <w:p>
      <w:pPr>
        <w:pStyle w:val="ListBullet"/>
      </w:pPr>
      <w:r>
        <w:rPr>
          <w:rFonts w:ascii="Arial" w:hAnsi="Arial"/>
          <w:sz w:val="20"/>
        </w:rPr>
        <w:t>Aggressive, abusive, threatening or discriminatory behaviour towards staff.</w:t>
      </w:r>
    </w:p>
    <w:p>
      <w:pPr>
        <w:pStyle w:val="ListBullet"/>
      </w:pPr>
      <w:r>
        <w:rPr>
          <w:rFonts w:ascii="Arial" w:hAnsi="Arial"/>
          <w:sz w:val="20"/>
        </w:rPr>
        <w:t>Repeated unresolved concerns or significant service failure.</w:t>
      </w:r>
    </w:p>
    <w:p>
      <w:pPr>
        <w:pStyle w:val="ListBullet"/>
      </w:pPr>
      <w:r>
        <w:rPr>
          <w:rFonts w:ascii="Arial" w:hAnsi="Arial"/>
          <w:sz w:val="20"/>
        </w:rPr>
        <w:t>Media, social media or reputational risk.</w:t>
      </w:r>
    </w:p>
    <w:p>
      <w:pPr>
        <w:pStyle w:val="Heading1"/>
      </w:pPr>
      <w:r>
        <w:rPr>
          <w:rFonts w:ascii="Arial" w:hAnsi="Arial"/>
        </w:rPr>
        <w:t>7. Listening discussion</w:t>
      </w:r>
    </w:p>
    <w:p>
      <w:r>
        <w:rPr>
          <w:rFonts w:ascii="Arial" w:hAnsi="Arial"/>
          <w:b w:val="0"/>
          <w:color w:val="1F2A44"/>
          <w:sz w:val="20"/>
        </w:rPr>
        <w:t>A listening discussion is a mandatory offer, not a mandatory meeting. The person can decline. If they decline, the practice must still confirm in writing whether early resolution is suitable or whether the concern will proceed to Stage 2 formal investigation. The discussion should identify what happened, the impact, questions, desired outcomes, communication needs, named contact and likely timescales.</w:t>
      </w:r>
    </w:p>
    <w:p>
      <w:pPr>
        <w:pStyle w:val="Heading1"/>
      </w:pPr>
      <w:r>
        <w:rPr>
          <w:rFonts w:ascii="Arial" w:hAnsi="Arial"/>
        </w:rPr>
        <w:t>8. Early resolution</w:t>
      </w:r>
    </w:p>
    <w:p>
      <w:r>
        <w:rPr>
          <w:rFonts w:ascii="Arial" w:hAnsi="Arial"/>
          <w:b w:val="0"/>
          <w:color w:val="1F2A44"/>
          <w:sz w:val="20"/>
        </w:rPr>
        <w:t>Early resolution may be appropriate for straightforward concerns where the matter can be resolved safely and proportionately. It requires explicit consent and must be completed within 10 working days from acknowledgement. If the concern cannot be resolved safely in that period, the practice must confirm escalation to Stage 2 in writing.</w:t>
      </w:r>
    </w:p>
    <w:p>
      <w:pPr>
        <w:pStyle w:val="Heading1"/>
      </w:pPr>
      <w:r>
        <w:rPr>
          <w:rFonts w:ascii="Arial" w:hAnsi="Arial"/>
        </w:rPr>
        <w:t>9. Stage 2 formal investigation and response</w:t>
      </w:r>
    </w:p>
    <w:p>
      <w:r>
        <w:rPr>
          <w:rFonts w:ascii="Arial" w:hAnsi="Arial"/>
          <w:b w:val="0"/>
          <w:color w:val="1F2A44"/>
          <w:sz w:val="20"/>
        </w:rPr>
        <w:t>Where early resolution is unsuitable or unsuccessful, the matter will be investigated formally. The practice should agree or communicate a realistic expected completion date at an early stage. 30 working days remains the default statutory safeguard where no different timeframe has been communicated. If the response cannot be completed by the expected date, the person must be told why and given a revised date.</w:t>
      </w:r>
    </w:p>
    <w:p>
      <w:r>
        <w:rPr>
          <w:rFonts w:ascii="Arial" w:hAnsi="Arial"/>
          <w:b w:val="0"/>
          <w:color w:val="1F2A44"/>
          <w:sz w:val="20"/>
        </w:rPr>
        <w:t>The final response should summarise the concerns, describe what was reviewed, set out findings, provide explanations, apologise where appropriate, identify actions and learning, and explain the right to contact the Public Services Ombudsman for Wales.</w:t>
      </w:r>
    </w:p>
    <w:p>
      <w:pPr>
        <w:pStyle w:val="Heading1"/>
      </w:pPr>
      <w:r>
        <w:rPr>
          <w:rFonts w:ascii="Arial" w:hAnsi="Arial"/>
        </w:rPr>
        <w:t>10. Documentation and records</w:t>
      </w:r>
    </w:p>
    <w:p>
      <w:pPr>
        <w:pStyle w:val="ListBullet"/>
      </w:pPr>
      <w:r>
        <w:rPr>
          <w:rFonts w:ascii="Arial" w:hAnsi="Arial"/>
          <w:sz w:val="20"/>
        </w:rPr>
        <w:t>All concerns must be recorded on the central concerns log.</w:t>
      </w:r>
    </w:p>
    <w:p>
      <w:pPr>
        <w:pStyle w:val="ListBullet"/>
      </w:pPr>
      <w:r>
        <w:rPr>
          <w:rFonts w:ascii="Arial" w:hAnsi="Arial"/>
          <w:sz w:val="20"/>
        </w:rPr>
        <w:t>Records should include receipt date, acknowledgement date, listening discussion offer, communication needs, early resolution decision and consent, escalation decisions, expected completion date, actions, outcome, learning and closure date.</w:t>
      </w:r>
    </w:p>
    <w:p>
      <w:pPr>
        <w:pStyle w:val="ListBullet"/>
      </w:pPr>
      <w:r>
        <w:rPr>
          <w:rFonts w:ascii="Arial" w:hAnsi="Arial"/>
          <w:sz w:val="20"/>
        </w:rPr>
        <w:t>Complaint records should be stored securely and separately from the clinical record unless clinically relevant.</w:t>
      </w:r>
    </w:p>
    <w:p>
      <w:pPr>
        <w:pStyle w:val="ListBullet"/>
      </w:pPr>
      <w:r>
        <w:rPr>
          <w:rFonts w:ascii="Arial" w:hAnsi="Arial"/>
          <w:sz w:val="20"/>
        </w:rPr>
        <w:t>Confidential information must only be shared where there is appropriate authority, consent or another lawful basis.</w:t>
      </w:r>
    </w:p>
    <w:p>
      <w:pPr>
        <w:pStyle w:val="Heading1"/>
      </w:pPr>
      <w:r>
        <w:rPr>
          <w:rFonts w:ascii="Arial" w:hAnsi="Arial"/>
        </w:rPr>
        <w:t>11. Contacts</w:t>
      </w:r>
    </w:p>
    <w:tbl>
      <w:tblPr>
        <w:tblStyle w:val="TableGrid"/>
        <w:tblW w:type="auto" w:w="0"/>
        <w:jc w:val="center"/>
        <w:tblLook w:firstColumn="1" w:firstRow="1" w:lastColumn="0" w:lastRow="0" w:noHBand="0" w:noVBand="1" w:val="04A0"/>
      </w:tblPr>
      <w:tblGrid>
        <w:gridCol w:w="5400"/>
        <w:gridCol w:w="5400"/>
      </w:tblGrid>
      <w:tr>
        <w:tc>
          <w:tcPr>
            <w:tcW w:type="dxa" w:w="5400"/>
            <w:shd w:fill="11325B"/>
            <w:vAlign w:val="top"/>
          </w:tcPr>
          <w:p>
            <w:r>
              <w:rPr>
                <w:b/>
                <w:color w:val="FFFFFF"/>
              </w:rPr>
            </w:r>
            <w:r>
              <w:rPr>
                <w:rFonts w:ascii="Arial" w:hAnsi="Arial"/>
                <w:b/>
                <w:color w:val="FFFFFF"/>
                <w:sz w:val="18"/>
              </w:rPr>
              <w:t>Area</w:t>
            </w:r>
          </w:p>
        </w:tc>
        <w:tc>
          <w:tcPr>
            <w:tcW w:type="dxa" w:w="5400"/>
            <w:shd w:fill="11325B"/>
            <w:vAlign w:val="top"/>
          </w:tcPr>
          <w:p>
            <w:r>
              <w:rPr>
                <w:b/>
                <w:color w:val="FFFFFF"/>
              </w:rPr>
            </w:r>
            <w:r>
              <w:rPr>
                <w:rFonts w:ascii="Arial" w:hAnsi="Arial"/>
                <w:b/>
                <w:color w:val="FFFFFF"/>
                <w:sz w:val="18"/>
              </w:rPr>
              <w:t>Requirement / Bryngwyn approach</w:t>
            </w:r>
          </w:p>
        </w:tc>
      </w:tr>
      <w:tr>
        <w:tc>
          <w:tcPr>
            <w:tcW w:type="dxa" w:w="5400"/>
            <w:shd w:fill="EEF8FA"/>
            <w:vAlign w:val="top"/>
          </w:tcPr>
          <w:p>
            <w:r/>
            <w:r>
              <w:rPr>
                <w:rFonts w:ascii="Arial" w:hAnsi="Arial"/>
                <w:b/>
                <w:color w:val="11325B"/>
                <w:sz w:val="18"/>
              </w:rPr>
              <w:t>Complaints Lead</w:t>
            </w:r>
          </w:p>
        </w:tc>
        <w:tc>
          <w:tcPr>
            <w:tcW w:type="dxa" w:w="5400"/>
            <w:vAlign w:val="top"/>
          </w:tcPr>
          <w:p>
            <w:r/>
            <w:r>
              <w:rPr>
                <w:rFonts w:ascii="Arial" w:hAnsi="Arial"/>
                <w:b w:val="0"/>
                <w:sz w:val="18"/>
              </w:rPr>
              <w:t>Rebecca Cooper, Practice Manager</w:t>
            </w:r>
          </w:p>
        </w:tc>
      </w:tr>
      <w:tr>
        <w:tc>
          <w:tcPr>
            <w:tcW w:type="dxa" w:w="5400"/>
            <w:shd w:fill="EEF8FA"/>
            <w:vAlign w:val="top"/>
          </w:tcPr>
          <w:p>
            <w:r/>
            <w:r>
              <w:rPr>
                <w:rFonts w:ascii="Arial" w:hAnsi="Arial"/>
                <w:b/>
                <w:color w:val="11325B"/>
                <w:sz w:val="18"/>
              </w:rPr>
              <w:t>Escalation</w:t>
            </w:r>
          </w:p>
        </w:tc>
        <w:tc>
          <w:tcPr>
            <w:tcW w:type="dxa" w:w="5400"/>
            <w:vAlign w:val="top"/>
          </w:tcPr>
          <w:p>
            <w:r/>
            <w:r>
              <w:rPr>
                <w:rFonts w:ascii="Arial" w:hAnsi="Arial"/>
                <w:b w:val="0"/>
                <w:sz w:val="18"/>
              </w:rPr>
              <w:t>Michele Richards</w:t>
            </w:r>
          </w:p>
        </w:tc>
      </w:tr>
      <w:tr>
        <w:tc>
          <w:tcPr>
            <w:tcW w:type="dxa" w:w="5400"/>
            <w:shd w:fill="EEF8FA"/>
            <w:vAlign w:val="top"/>
          </w:tcPr>
          <w:p>
            <w:r/>
            <w:r>
              <w:rPr>
                <w:rFonts w:ascii="Arial" w:hAnsi="Arial"/>
                <w:b/>
                <w:color w:val="11325B"/>
                <w:sz w:val="18"/>
              </w:rPr>
              <w:t>GP Partner oversight</w:t>
            </w:r>
          </w:p>
        </w:tc>
        <w:tc>
          <w:tcPr>
            <w:tcW w:type="dxa" w:w="5400"/>
            <w:vAlign w:val="top"/>
          </w:tcPr>
          <w:p>
            <w:r/>
            <w:r>
              <w:rPr>
                <w:rFonts w:ascii="Arial" w:hAnsi="Arial"/>
                <w:b w:val="0"/>
                <w:sz w:val="18"/>
              </w:rPr>
              <w:t>Dr Majd Jadoon</w:t>
            </w:r>
          </w:p>
        </w:tc>
      </w:tr>
      <w:tr>
        <w:tc>
          <w:tcPr>
            <w:tcW w:type="dxa" w:w="5400"/>
            <w:shd w:fill="EEF8FA"/>
            <w:vAlign w:val="top"/>
          </w:tcPr>
          <w:p>
            <w:r/>
            <w:r>
              <w:rPr>
                <w:rFonts w:ascii="Arial" w:hAnsi="Arial"/>
                <w:b/>
                <w:color w:val="11325B"/>
                <w:sz w:val="18"/>
              </w:rPr>
              <w:t>Telephone</w:t>
            </w:r>
          </w:p>
        </w:tc>
        <w:tc>
          <w:tcPr>
            <w:tcW w:type="dxa" w:w="5400"/>
            <w:vAlign w:val="top"/>
          </w:tcPr>
          <w:p>
            <w:r/>
            <w:r>
              <w:rPr>
                <w:rFonts w:ascii="Arial" w:hAnsi="Arial"/>
                <w:b w:val="0"/>
                <w:sz w:val="18"/>
              </w:rPr>
              <w:t>01633 263463</w:t>
            </w:r>
          </w:p>
        </w:tc>
      </w:tr>
      <w:tr>
        <w:tc>
          <w:tcPr>
            <w:tcW w:type="dxa" w:w="5400"/>
            <w:shd w:fill="EEF8FA"/>
            <w:vAlign w:val="top"/>
          </w:tcPr>
          <w:p>
            <w:r/>
            <w:r>
              <w:rPr>
                <w:rFonts w:ascii="Arial" w:hAnsi="Arial"/>
                <w:b/>
                <w:color w:val="11325B"/>
                <w:sz w:val="18"/>
              </w:rPr>
              <w:t>Email</w:t>
            </w:r>
          </w:p>
        </w:tc>
        <w:tc>
          <w:tcPr>
            <w:tcW w:type="dxa" w:w="5400"/>
            <w:vAlign w:val="top"/>
          </w:tcPr>
          <w:p>
            <w:r/>
            <w:r>
              <w:rPr>
                <w:rFonts w:ascii="Arial" w:hAnsi="Arial"/>
                <w:b w:val="0"/>
                <w:sz w:val="18"/>
              </w:rPr>
              <w:t>enquiries.w93046@wales.nhs.uk</w:t>
            </w:r>
          </w:p>
        </w:tc>
      </w:tr>
      <w:tr>
        <w:tc>
          <w:tcPr>
            <w:tcW w:type="dxa" w:w="5400"/>
            <w:shd w:fill="EEF8FA"/>
            <w:vAlign w:val="top"/>
          </w:tcPr>
          <w:p>
            <w:r/>
            <w:r>
              <w:rPr>
                <w:rFonts w:ascii="Arial" w:hAnsi="Arial"/>
                <w:b/>
                <w:color w:val="11325B"/>
                <w:sz w:val="18"/>
              </w:rPr>
              <w:t>Address</w:t>
            </w:r>
          </w:p>
        </w:tc>
        <w:tc>
          <w:tcPr>
            <w:tcW w:type="dxa" w:w="5400"/>
            <w:vAlign w:val="top"/>
          </w:tcPr>
          <w:p>
            <w:r/>
            <w:r>
              <w:rPr>
                <w:rFonts w:ascii="Arial" w:hAnsi="Arial"/>
                <w:b w:val="0"/>
                <w:sz w:val="18"/>
              </w:rPr>
              <w:t>Bryngwyn Surgery, 4 and 6 Bryngwyn Road, Newport, NP20 4JE</w:t>
            </w:r>
          </w:p>
        </w:tc>
      </w:tr>
      <w:tr>
        <w:tc>
          <w:tcPr>
            <w:tcW w:type="dxa" w:w="5400"/>
            <w:shd w:fill="EEF8FA"/>
            <w:vAlign w:val="top"/>
          </w:tcPr>
          <w:p>
            <w:r/>
            <w:r>
              <w:rPr>
                <w:rFonts w:ascii="Arial" w:hAnsi="Arial"/>
                <w:b/>
                <w:color w:val="11325B"/>
                <w:sz w:val="18"/>
              </w:rPr>
              <w:t>Website</w:t>
            </w:r>
          </w:p>
        </w:tc>
        <w:tc>
          <w:tcPr>
            <w:tcW w:type="dxa" w:w="5400"/>
            <w:vAlign w:val="top"/>
          </w:tcPr>
          <w:p>
            <w:r/>
            <w:r>
              <w:rPr>
                <w:rFonts w:ascii="Arial" w:hAnsi="Arial"/>
                <w:b w:val="0"/>
                <w:sz w:val="18"/>
              </w:rPr>
              <w:t>www.bryngwynsurgery.co.uk</w:t>
            </w:r>
          </w:p>
        </w:tc>
      </w:tr>
    </w:tbl>
    <w:p>
      <w:r>
        <w:br w:type="page"/>
      </w:r>
    </w:p>
    <w:p>
      <w:pPr>
        <w:spacing w:before="200" w:after="80"/>
      </w:pPr>
      <w:r>
        <w:rPr>
          <w:rFonts w:ascii="Arial" w:hAnsi="Arial" w:eastAsia="Arial"/>
          <w:b/>
          <w:sz w:val="24"/>
          <w:color w:val="11325B"/>
        </w:rPr>
        <w:t>Document control and version history</w:t>
      </w:r>
    </w:p>
    <w:tbl>
      <w:tblPr>
        <w:tblStyle w:val="TableGrid"/>
        <w:tblW w:type="auto" w:w="0"/>
        <w:jc w:val="center"/>
        <w:tblLook w:firstColumn="1" w:firstRow="1" w:lastColumn="0" w:lastRow="0" w:noHBand="0" w:noVBand="1" w:val="04A0"/>
      </w:tblPr>
      <w:tblGrid>
        <w:gridCol w:w="5400"/>
        <w:gridCol w:w="5400"/>
      </w:tblGrid>
      <w:tr>
        <w:tc>
          <w:tcPr>
            <w:tcW w:type="dxa" w:w="5400"/>
            <w:vAlign w:val="center"/>
            <w:shd w:fill="E8F5F7"/>
          </w:tcPr>
          <w:p>
            <w:pPr>
              <w:spacing w:after="0"/>
            </w:pPr>
            <w:r/>
            <w:r>
              <w:rPr>
                <w:rFonts w:ascii="Arial" w:hAnsi="Arial" w:eastAsia="Arial"/>
                <w:b/>
                <w:sz w:val="17"/>
                <w:color w:val="11325B"/>
              </w:rPr>
              <w:t>Version</w:t>
            </w:r>
          </w:p>
        </w:tc>
        <w:tc>
          <w:tcPr>
            <w:tcW w:type="dxa" w:w="5400"/>
            <w:vAlign w:val="center"/>
          </w:tcPr>
          <w:p>
            <w:pPr>
              <w:spacing w:after="0"/>
            </w:pPr>
            <w:r/>
            <w:r>
              <w:rPr>
                <w:rFonts w:ascii="Arial" w:hAnsi="Arial" w:eastAsia="Arial"/>
                <w:b w:val="0"/>
                <w:sz w:val="17"/>
                <w:color w:val="1F2A44"/>
              </w:rPr>
              <w:t>1.2</w:t>
            </w:r>
          </w:p>
        </w:tc>
      </w:tr>
      <w:tr>
        <w:tc>
          <w:tcPr>
            <w:tcW w:type="dxa" w:w="5400"/>
            <w:vAlign w:val="center"/>
            <w:shd w:fill="E8F5F7"/>
          </w:tcPr>
          <w:p>
            <w:pPr>
              <w:spacing w:after="0"/>
            </w:pPr>
            <w:r/>
            <w:r>
              <w:rPr>
                <w:rFonts w:ascii="Arial" w:hAnsi="Arial" w:eastAsia="Arial"/>
                <w:b/>
                <w:sz w:val="17"/>
                <w:color w:val="11325B"/>
              </w:rPr>
              <w:t>Effective from</w:t>
            </w:r>
          </w:p>
        </w:tc>
        <w:tc>
          <w:tcPr>
            <w:tcW w:type="dxa" w:w="5400"/>
            <w:vAlign w:val="center"/>
          </w:tcPr>
          <w:p>
            <w:pPr>
              <w:spacing w:after="0"/>
            </w:pPr>
            <w:r/>
            <w:r>
              <w:rPr>
                <w:rFonts w:ascii="Arial" w:hAnsi="Arial" w:eastAsia="Arial"/>
                <w:b w:val="0"/>
                <w:sz w:val="17"/>
                <w:color w:val="1F2A44"/>
              </w:rPr>
              <w:t>June 2026</w:t>
            </w:r>
          </w:p>
        </w:tc>
      </w:tr>
      <w:tr>
        <w:tc>
          <w:tcPr>
            <w:tcW w:type="dxa" w:w="5400"/>
            <w:vAlign w:val="center"/>
            <w:shd w:fill="E8F5F7"/>
          </w:tcPr>
          <w:p>
            <w:pPr>
              <w:spacing w:after="0"/>
            </w:pPr>
            <w:r/>
            <w:r>
              <w:rPr>
                <w:rFonts w:ascii="Arial" w:hAnsi="Arial" w:eastAsia="Arial"/>
                <w:b/>
                <w:sz w:val="17"/>
                <w:color w:val="11325B"/>
              </w:rPr>
              <w:t>Review due</w:t>
            </w:r>
          </w:p>
        </w:tc>
        <w:tc>
          <w:tcPr>
            <w:tcW w:type="dxa" w:w="5400"/>
            <w:vAlign w:val="center"/>
          </w:tcPr>
          <w:p>
            <w:pPr>
              <w:spacing w:after="0"/>
            </w:pPr>
            <w:r/>
            <w:r>
              <w:rPr>
                <w:rFonts w:ascii="Arial" w:hAnsi="Arial" w:eastAsia="Arial"/>
                <w:b w:val="0"/>
                <w:sz w:val="17"/>
                <w:color w:val="1F2A44"/>
              </w:rPr>
              <w:t>June 2027</w:t>
            </w:r>
          </w:p>
        </w:tc>
      </w:tr>
      <w:tr>
        <w:tc>
          <w:tcPr>
            <w:tcW w:type="dxa" w:w="5400"/>
            <w:vAlign w:val="center"/>
            <w:shd w:fill="E8F5F7"/>
          </w:tcPr>
          <w:p>
            <w:pPr>
              <w:spacing w:after="0"/>
            </w:pPr>
            <w:r/>
            <w:r>
              <w:rPr>
                <w:rFonts w:ascii="Arial" w:hAnsi="Arial" w:eastAsia="Arial"/>
                <w:b/>
                <w:sz w:val="17"/>
                <w:color w:val="11325B"/>
              </w:rPr>
              <w:t>Document owner</w:t>
            </w:r>
          </w:p>
        </w:tc>
        <w:tc>
          <w:tcPr>
            <w:tcW w:type="dxa" w:w="5400"/>
            <w:vAlign w:val="center"/>
          </w:tcPr>
          <w:p>
            <w:pPr>
              <w:spacing w:after="0"/>
            </w:pPr>
            <w:r/>
            <w:r>
              <w:rPr>
                <w:rFonts w:ascii="Arial" w:hAnsi="Arial" w:eastAsia="Arial"/>
                <w:b w:val="0"/>
                <w:sz w:val="17"/>
                <w:color w:val="1F2A44"/>
              </w:rPr>
              <w:t>Bryngwyn Surgery</w:t>
            </w:r>
          </w:p>
        </w:tc>
      </w:tr>
      <w:tr>
        <w:tc>
          <w:tcPr>
            <w:tcW w:type="dxa" w:w="5400"/>
            <w:vAlign w:val="center"/>
            <w:shd w:fill="E8F5F7"/>
          </w:tcPr>
          <w:p>
            <w:pPr>
              <w:spacing w:after="0"/>
            </w:pPr>
            <w:r/>
            <w:r>
              <w:rPr>
                <w:rFonts w:ascii="Arial" w:hAnsi="Arial" w:eastAsia="Arial"/>
                <w:b/>
                <w:sz w:val="17"/>
                <w:color w:val="11325B"/>
              </w:rPr>
              <w:t>Approved by/date</w:t>
            </w:r>
          </w:p>
        </w:tc>
        <w:tc>
          <w:tcPr>
            <w:tcW w:type="dxa" w:w="5400"/>
            <w:vAlign w:val="center"/>
          </w:tcPr>
          <w:p>
            <w:pPr>
              <w:spacing w:after="0"/>
            </w:pPr>
            <w:r/>
            <w:r>
              <w:rPr>
                <w:rFonts w:ascii="Arial" w:hAnsi="Arial" w:eastAsia="Arial"/>
                <w:b w:val="0"/>
                <w:sz w:val="17"/>
                <w:color w:val="1F2A44"/>
              </w:rPr>
              <w:t>To be completed by practice</w:t>
            </w:r>
          </w:p>
        </w:tc>
      </w:tr>
      <w:tr>
        <w:tc>
          <w:tcPr>
            <w:tcW w:type="dxa" w:w="5400"/>
            <w:vAlign w:val="center"/>
            <w:shd w:fill="E8F5F7"/>
          </w:tcPr>
          <w:p>
            <w:pPr>
              <w:spacing w:after="0"/>
            </w:pPr>
            <w:r/>
            <w:r>
              <w:rPr>
                <w:rFonts w:ascii="Arial" w:hAnsi="Arial" w:eastAsia="Arial"/>
                <w:b/>
                <w:sz w:val="17"/>
                <w:color w:val="11325B"/>
              </w:rPr>
              <w:t>Change summary</w:t>
            </w:r>
          </w:p>
        </w:tc>
        <w:tc>
          <w:tcPr>
            <w:tcW w:type="dxa" w:w="5400"/>
            <w:vAlign w:val="center"/>
          </w:tcPr>
          <w:p>
            <w:pPr>
              <w:spacing w:after="0"/>
            </w:pPr>
            <w:r/>
            <w:r>
              <w:rPr>
                <w:rFonts w:ascii="Arial" w:hAnsi="Arial" w:eastAsia="Arial"/>
                <w:b w:val="0"/>
                <w:sz w:val="17"/>
                <w:color w:val="1F2A44"/>
              </w:rPr>
              <w:t>Branding updated to use the Bryngwyn Surgery logo only. Version control added.</w:t>
            </w:r>
          </w:p>
        </w:tc>
      </w:tr>
      <w:tr>
        <w:tc>
          <w:tcPr>
            <w:tcW w:type="dxa" w:w="5400"/>
            <w:vAlign w:val="center"/>
            <w:shd w:fill="E8F5F7"/>
          </w:tcPr>
          <w:p>
            <w:pPr>
              <w:spacing w:after="0"/>
            </w:pPr>
            <w:r/>
            <w:r>
              <w:rPr>
                <w:rFonts w:ascii="Arial" w:hAnsi="Arial" w:eastAsia="Arial"/>
                <w:b/>
                <w:sz w:val="17"/>
                <w:color w:val="11325B"/>
              </w:rPr>
              <w:t>Controlled document note</w:t>
            </w:r>
          </w:p>
        </w:tc>
        <w:tc>
          <w:tcPr>
            <w:tcW w:type="dxa" w:w="5400"/>
            <w:vAlign w:val="center"/>
          </w:tcPr>
          <w:p>
            <w:pPr>
              <w:spacing w:after="0"/>
            </w:pPr>
            <w:r/>
            <w:r>
              <w:rPr>
                <w:rFonts w:ascii="Arial" w:hAnsi="Arial" w:eastAsia="Arial"/>
                <w:b w:val="0"/>
                <w:sz w:val="17"/>
                <w:color w:val="1F2A44"/>
              </w:rPr>
              <w:t>Printed copies are uncontrolled unless the version and review date are checked before use.</w:t>
            </w:r>
          </w:p>
        </w:tc>
      </w:tr>
    </w:tbl>
    <w:sectPr w:rsidR="00FC693F" w:rsidRPr="0006063C" w:rsidSect="00034616">
      <w:headerReference w:type="default" r:id="rId9"/>
      <w:footerReference w:type="default" r:id="rId10"/>
      <w:pgSz w:w="12240" w:h="15840"/>
      <w:pgMar w:top="1944" w:right="720" w:bottom="648" w:left="720" w:header="288"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after="0" w:before="0"/>
      <w:jc w:val="center"/>
    </w:pPr>
    <w:r>
      <w:rPr>
        <w:rFonts w:ascii="Arial" w:hAnsi="Arial" w:eastAsia="Arial"/>
        <w:b w:val="0"/>
        <w:sz w:val="16"/>
        <w:color w:val="5C7692"/>
      </w:rPr>
      <w:t>Bryngwyn Surgery | Version 1.2 | Effective June 2026 | Review due June 2027</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after="0" w:before="0"/>
      <w:jc w:val="center"/>
    </w:pPr>
    <w:r>
      <w:drawing>
        <wp:inline xmlns:a="http://schemas.openxmlformats.org/drawingml/2006/main" xmlns:pic="http://schemas.openxmlformats.org/drawingml/2006/picture">
          <wp:extent cx="2606040" cy="919119"/>
          <wp:docPr id="1" name="Picture 1"/>
          <wp:cNvGraphicFramePr>
            <a:graphicFrameLocks noChangeAspect="1"/>
          </wp:cNvGraphicFramePr>
          <a:graphic>
            <a:graphicData uri="http://schemas.openxmlformats.org/drawingml/2006/picture">
              <pic:pic>
                <pic:nvPicPr>
                  <pic:cNvPr id="0" name="Bryngwyn-Surgery-1.png"/>
                  <pic:cNvPicPr/>
                </pic:nvPicPr>
                <pic:blipFill>
                  <a:blip r:embed="rId2"/>
                  <a:stretch>
                    <a:fillRect/>
                  </a:stretch>
                </pic:blipFill>
                <pic:spPr>
                  <a:xfrm>
                    <a:off x="0" y="0"/>
                    <a:ext cx="2606040" cy="919119"/>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color w:val="1F2A44"/>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1325B"/>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1325B"/>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color w:val="11325B"/>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Listening to People 2026 complaints and concerns document</dc:subject>
  <dc:creator>python-docx</dc:creator>
  <cp:keywords>Bryngwyn Surgery; complaints; concerns; Listening to People; version control</cp:keywords>
  <dc:description>Version 1.2. Branding updated and version control added.</dc:description>
  <cp:lastModifiedBy/>
  <cp:revision>1</cp:revision>
  <dcterms:created xsi:type="dcterms:W3CDTF">2013-12-23T23:15:00Z</dcterms:created>
  <dcterms:modified xsi:type="dcterms:W3CDTF">2013-12-23T23:15:00Z</dcterms:modified>
  <cp:category/>
</cp:coreProperties>
</file>